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0731E" w14:textId="77777777" w:rsidR="00501DEB" w:rsidRDefault="0072702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429D2E6C" w14:textId="77777777" w:rsidR="00501DEB" w:rsidRDefault="00501DE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30ACDFC" w14:textId="77777777" w:rsidR="00501DEB" w:rsidRDefault="0072702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021E2F63" w14:textId="77777777" w:rsidR="00727022" w:rsidRDefault="00727022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VI187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28.02</w:t>
      </w:r>
      <w:r>
        <w:rPr>
          <w:rFonts w:ascii="Times New Roman" w:eastAsia="Times New Roman" w:hAnsi="Times New Roman" w:cs="Times New Roman"/>
        </w:rPr>
        <w:t>.2022, 22.07.2022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708D13D6" w14:textId="26EA65F6" w:rsidR="00501DEB" w:rsidRDefault="00727022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F3EEA08" w14:textId="77777777" w:rsidR="00501DEB" w:rsidRDefault="00727022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58,13379 ° N, 25,45482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BA52752" w14:textId="77777777" w:rsidR="00501DEB" w:rsidRDefault="00501DE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E25CB6" w14:textId="77777777" w:rsidR="00501DEB" w:rsidRDefault="0072702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501DEB" w14:paraId="6BB482E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0BAFD9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765E9BA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76Ku18Ks4Ma1Hb1Lm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BC472DD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77083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241E8B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C.2. KUUSIKUD JA KUUSE-SEGAMETSAD</w:t>
            </w:r>
          </w:p>
        </w:tc>
      </w:tr>
      <w:tr w:rsidR="00501DEB" w14:paraId="7725DB9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0DB70D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43421F3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100Ku+Nu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0731E8" w14:textId="77777777" w:rsidR="00501DEB" w:rsidRDefault="00501D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267D2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501DEB" w14:paraId="70F16FF9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75807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A8C25C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Ta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3517A5" w14:textId="77777777" w:rsidR="00501DEB" w:rsidRDefault="00501D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9D8E5B6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DEB" w14:paraId="636470FA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61A322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1BC3CF9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Pk, Sp,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7BEC68" w14:textId="77777777" w:rsidR="00501DEB" w:rsidRDefault="00501D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9245A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1DEB" w14:paraId="2407ABCB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F1052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731EA0A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JO, MD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EC49B8" w14:textId="77777777" w:rsidR="00501DEB" w:rsidRDefault="00501D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4C147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55564CE8" w14:textId="77777777" w:rsidR="00501DEB" w:rsidRDefault="00501DE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D14907" w14:textId="77777777" w:rsidR="00501DEB" w:rsidRDefault="00501DE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EB8F32" w14:textId="77777777" w:rsidR="00501DEB" w:rsidRDefault="0072702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501DEB" w14:paraId="0C052E44" w14:textId="77777777">
        <w:trPr>
          <w:trHeight w:val="380"/>
        </w:trPr>
        <w:tc>
          <w:tcPr>
            <w:tcW w:w="966" w:type="dxa"/>
            <w:vAlign w:val="center"/>
          </w:tcPr>
          <w:p w14:paraId="5CE16287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4D8DCE80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5437EF32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00E0442F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36A46B95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5CC008EC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4E232A36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361749B6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36739AC4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501DEB" w14:paraId="322666F9" w14:textId="77777777">
        <w:trPr>
          <w:trHeight w:val="380"/>
        </w:trPr>
        <w:tc>
          <w:tcPr>
            <w:tcW w:w="966" w:type="dxa"/>
            <w:vAlign w:val="center"/>
          </w:tcPr>
          <w:p w14:paraId="3DCCB11B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70B340CE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27CA2389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10C20CA0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7F6AFF08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46C6DCDA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56137647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43AD6EE3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6F83E649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501DEB" w14:paraId="39521917" w14:textId="77777777">
        <w:trPr>
          <w:trHeight w:val="380"/>
        </w:trPr>
        <w:tc>
          <w:tcPr>
            <w:tcW w:w="966" w:type="dxa"/>
            <w:vAlign w:val="center"/>
          </w:tcPr>
          <w:p w14:paraId="06491A07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3D784188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4976C0B8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6BCC232A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116DF7AC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42C34D3D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5976E923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41DAC499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00B4F61B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501DEB" w14:paraId="5FBF7780" w14:textId="77777777">
        <w:trPr>
          <w:trHeight w:val="380"/>
        </w:trPr>
        <w:tc>
          <w:tcPr>
            <w:tcW w:w="966" w:type="dxa"/>
            <w:vAlign w:val="center"/>
          </w:tcPr>
          <w:p w14:paraId="1D995270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1DFC51C8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73DA16E2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10ACC2E8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4EBDF9D9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6926E32E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13E64464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03DA5A4B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6AC697EE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501DEB" w14:paraId="2E7135B9" w14:textId="77777777">
        <w:trPr>
          <w:trHeight w:val="380"/>
        </w:trPr>
        <w:tc>
          <w:tcPr>
            <w:tcW w:w="966" w:type="dxa"/>
            <w:vAlign w:val="center"/>
          </w:tcPr>
          <w:p w14:paraId="4F585506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0AC293C3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65AB4560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76917426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4521D4CF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3DEDDE8B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697F5010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542F6049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388DAEA1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501DEB" w14:paraId="1E40E1E2" w14:textId="77777777">
        <w:trPr>
          <w:trHeight w:val="380"/>
        </w:trPr>
        <w:tc>
          <w:tcPr>
            <w:tcW w:w="966" w:type="dxa"/>
            <w:vAlign w:val="center"/>
          </w:tcPr>
          <w:p w14:paraId="4826CEE0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13DB4AF5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5ED75BD7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06EB21D9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57E340A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59F0B92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18BB2C2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755AAB1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C824FEC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3A266A14" w14:textId="77777777" w:rsidR="00501DEB" w:rsidRDefault="00501DE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C045F9" w14:textId="77777777" w:rsidR="00501DEB" w:rsidRDefault="0072702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501DEB" w14:paraId="31C0206D" w14:textId="77777777">
        <w:trPr>
          <w:trHeight w:val="460"/>
        </w:trPr>
        <w:tc>
          <w:tcPr>
            <w:tcW w:w="1450" w:type="dxa"/>
            <w:vAlign w:val="center"/>
          </w:tcPr>
          <w:p w14:paraId="614950F3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54B35EE8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004CC1F4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1BB94EB0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2F0C6D63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0ACD40B7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7F386679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501DEB" w14:paraId="4B49AE12" w14:textId="77777777">
        <w:trPr>
          <w:trHeight w:val="460"/>
        </w:trPr>
        <w:tc>
          <w:tcPr>
            <w:tcW w:w="1450" w:type="dxa"/>
            <w:vAlign w:val="center"/>
          </w:tcPr>
          <w:p w14:paraId="32A8C1CD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0F1FA4E6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4C05D3B6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1697C3E3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57429BFA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3166AEB9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64A7D196" w14:textId="77777777" w:rsidR="00501DEB" w:rsidRDefault="0072702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501DEB" w14:paraId="2FFD3313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05AA9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2BFD7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668A8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9CECC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F32D0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501DEB" w14:paraId="5AE50ADB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9D2DC1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F11463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A7FA8D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43ABF2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2829A5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D28AC3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22435C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7F2F89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4F7237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DD5A7C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501DEB" w14:paraId="7B5C59E1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E5C29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5A40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D1C6C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8268A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44AA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60101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155A3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F129F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A57C0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50922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501DEB" w14:paraId="7E812505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10899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392CC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38550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E026F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5B41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99B0F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E9578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902B8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A3CCA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Lm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AD319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01DEB" w14:paraId="2F25D81D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620D6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67A7F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64249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9D6CB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1EF48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Lm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6636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F0347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D9695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69929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E9B3A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14:paraId="59E0946B" w14:textId="77777777" w:rsidR="00501DEB" w:rsidRDefault="0072702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501DEB" w14:paraId="4373C411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17AABC71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0C0C004A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501DEB" w14:paraId="7AEA158D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4B3587F5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5FAD9C4A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2251BE5E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3500DCD0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7D23E808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65897E41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66BD6D7C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0C1E2124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501DEB" w14:paraId="4875C81B" w14:textId="77777777">
        <w:trPr>
          <w:trHeight w:val="140"/>
        </w:trPr>
        <w:tc>
          <w:tcPr>
            <w:tcW w:w="547" w:type="dxa"/>
          </w:tcPr>
          <w:p w14:paraId="0149BA43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47B4F85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9A6571F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D68E8E8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CBBE008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5E8E7775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A89BA91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0C71834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0F86053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3943D66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59044573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3E92CFD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36FA213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CA9ADA3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4770E12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5663A9CC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501DEB" w14:paraId="1D1E3D41" w14:textId="77777777">
        <w:trPr>
          <w:trHeight w:val="280"/>
        </w:trPr>
        <w:tc>
          <w:tcPr>
            <w:tcW w:w="547" w:type="dxa"/>
          </w:tcPr>
          <w:p w14:paraId="698A9B35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05713393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8" w:type="dxa"/>
          </w:tcPr>
          <w:p w14:paraId="62D4306B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52648C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0E80302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FC84DC0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725BA4E0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0D11565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2E8C73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04CED991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0E7D5596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9492106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584D29A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901551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98EA72E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0B078FC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1DEB" w14:paraId="15F299A9" w14:textId="77777777">
        <w:trPr>
          <w:trHeight w:val="280"/>
        </w:trPr>
        <w:tc>
          <w:tcPr>
            <w:tcW w:w="547" w:type="dxa"/>
          </w:tcPr>
          <w:p w14:paraId="2C20BB0F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B4FD1F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5F83D4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510F57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C666B5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95EF769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463FD3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0B62D7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CDB75D9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A44D1F5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D379E53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9C1B131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6B772E1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6BEDF8E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931ECE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E11A4F8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1DEB" w14:paraId="0F0E975A" w14:textId="77777777">
        <w:trPr>
          <w:trHeight w:val="280"/>
        </w:trPr>
        <w:tc>
          <w:tcPr>
            <w:tcW w:w="547" w:type="dxa"/>
          </w:tcPr>
          <w:p w14:paraId="16FD9A86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A1DCE04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751FF0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C56DB4F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B28241D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DFE5223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A1EE3F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F3D9F15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A0CCB4F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7E08378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B207068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6850924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8BC8F3C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CFAC85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1A14DF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99FB5CF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DD1004F" w14:textId="77777777" w:rsidR="00501DEB" w:rsidRDefault="00501DE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01DEB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16059B69" w14:textId="77777777" w:rsidR="00501DEB" w:rsidRDefault="0072702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501DEB" w14:paraId="0FF40A5F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027D446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7660F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32532" w14:textId="77777777" w:rsidR="00501DEB" w:rsidRDefault="00501D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16972D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B2730A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501DEB" w14:paraId="0B002D81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03E99C8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5B22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21AFA27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FB52A1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DC7A0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1DEB" w14:paraId="080B5C5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0DE6251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E7699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EC895C3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0262CF0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6B786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1DEB" w14:paraId="6A814B0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6E1FBC0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3CA8C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8FE0F82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5A5E657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25199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1DEB" w14:paraId="0EEBE5A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D28FDD9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F5CA7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4B23F06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528802D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A24A0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1DEB" w14:paraId="3D251A9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AD5A46A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13632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C590523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E26FBEA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AFE94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1DEB" w14:paraId="4D1FCD3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3797D0D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F3B07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1487D8C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5051D07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78615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1DEB" w14:paraId="0A92BA9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16F6E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CB9BC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79E34EB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B60EA1E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27D6E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1DEB" w14:paraId="7F25319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A0D9763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58AF4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6609240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1D77266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C8207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1DEB" w14:paraId="4051755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ED4387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476AC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2897C27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F6CAB93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F0436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1DEB" w14:paraId="752D216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00F6FC3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478F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5A909E0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0EC9072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E367C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1DEB" w14:paraId="09D664B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5F67CEB3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19826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CE6AB98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5851AC20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3385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0E35DF6" w14:textId="77777777" w:rsidR="00501DEB" w:rsidRDefault="00501DE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985BCB" w14:textId="77777777" w:rsidR="00501DEB" w:rsidRDefault="00501DE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0641C7" w14:textId="77777777" w:rsidR="00501DEB" w:rsidRDefault="0072702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501DEB" w14:paraId="1837FEDA" w14:textId="77777777">
        <w:tc>
          <w:tcPr>
            <w:tcW w:w="725" w:type="dxa"/>
            <w:vAlign w:val="center"/>
          </w:tcPr>
          <w:p w14:paraId="10165C21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44D91E47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586B5DC9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29F9D99D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711E1D98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2B624DF3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75553552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60EB8705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46A7AAF3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295607D7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64779B98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5B9903EA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501DEB" w14:paraId="4CB47343" w14:textId="77777777">
        <w:trPr>
          <w:trHeight w:val="300"/>
        </w:trPr>
        <w:tc>
          <w:tcPr>
            <w:tcW w:w="725" w:type="dxa"/>
          </w:tcPr>
          <w:p w14:paraId="3738B8AE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1611A9A1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3EA544BA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654A7919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594" w:type="dxa"/>
          </w:tcPr>
          <w:p w14:paraId="751492A3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14A8043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227465C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7C2FDDC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E918A81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07B6FCD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A7CC564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4FAD76D4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1B6BFC9" w14:textId="77777777" w:rsidR="00501DEB" w:rsidRDefault="00501DE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E851D2" w14:textId="77777777" w:rsidR="00501DEB" w:rsidRDefault="00501DE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97A9EC" w14:textId="77777777" w:rsidR="00501DEB" w:rsidRDefault="0072702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501DEB" w14:paraId="5684C764" w14:textId="77777777">
        <w:tc>
          <w:tcPr>
            <w:tcW w:w="1426" w:type="dxa"/>
            <w:vAlign w:val="center"/>
          </w:tcPr>
          <w:p w14:paraId="1E5EAB43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30DCEBBA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264C15DD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4FEF8A36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33962C09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232416C2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3A89E0E0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501DEB" w14:paraId="63EB5ED6" w14:textId="77777777">
        <w:tc>
          <w:tcPr>
            <w:tcW w:w="1426" w:type="dxa"/>
          </w:tcPr>
          <w:p w14:paraId="3EE23540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7219DA3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2FA93156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8D66FC9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258B26B2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665848BD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57A23253" w14:textId="77777777" w:rsidR="00501DEB" w:rsidRDefault="00501DE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501DEB" w14:paraId="26674098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17A4A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06D1E16" w14:textId="77777777" w:rsidR="00501DEB" w:rsidRDefault="00501D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7E41F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501DEB" w14:paraId="4B8C3FB7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5DE0F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4D34B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EAC906" w14:textId="77777777" w:rsidR="00501DEB" w:rsidRDefault="00501D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ED0C9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C6E30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BDFA3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F2C89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501DEB" w14:paraId="5A8B7997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525F2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DA648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20EB2E" w14:textId="77777777" w:rsidR="00501DEB" w:rsidRDefault="00501D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B0115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52D0A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DAB22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AEA4E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01DEB" w14:paraId="32BA46DD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48C18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F4053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936E32" w14:textId="77777777" w:rsidR="00501DEB" w:rsidRDefault="00501D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736EE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2F5DE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F2255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50B2A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01DEB" w14:paraId="6AB1BF4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D68D3" w14:textId="77777777" w:rsidR="00501DEB" w:rsidRDefault="00501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B26A4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364011" w14:textId="77777777" w:rsidR="00501DEB" w:rsidRDefault="00501D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48186" w14:textId="77777777" w:rsidR="00501DEB" w:rsidRDefault="00727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9D81C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46942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706EF" w14:textId="77777777" w:rsidR="00501DEB" w:rsidRDefault="007270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0034F45" w14:textId="77777777" w:rsidR="00501DEB" w:rsidRDefault="00501DE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04F36A" w14:textId="77777777" w:rsidR="00501DEB" w:rsidRDefault="00501DE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FB1230" w14:textId="77777777" w:rsidR="00501DEB" w:rsidRDefault="0072702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5CF56565" w14:textId="77777777" w:rsidR="00501DEB" w:rsidRDefault="0072702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Kahe registreeritud VEP-i vaheline ala, kus kunagisele madalsoole on kuivenduse tõttu kasvanud kuusik ning nüüdseks on tekkinud palju kuuse surnud puitu. Kõrge potentsiaal areneda haruldastele liikidele heaks kasvukohaks. Kraavid renoveerimata, madalsoostu</w:t>
      </w:r>
      <w:r>
        <w:rPr>
          <w:rFonts w:ascii="Times New Roman" w:eastAsia="Times New Roman" w:hAnsi="Times New Roman" w:cs="Times New Roman"/>
        </w:rPr>
        <w:t>v veereziim aeglaselt taastumas. Paiguti rippsamblikud.</w:t>
      </w:r>
    </w:p>
    <w:sectPr w:rsidR="00501DEB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DEB"/>
    <w:rsid w:val="00501DEB"/>
    <w:rsid w:val="0072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2DC7D"/>
  <w15:docId w15:val="{7BB88CAB-33E2-4B18-AF20-4DDC1273D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v8IGnQAJgciKlffBQ4jfZnsERg==">AMUW2mWNPxPPylGoHmXEeyZtASJQLc3zOFKwU8o21/OX2Nz0TRgr8vESt+6p7hsSns1yEW5bN0bj+vKvWJAYpBtLH+Is3LVj7Rp0Ia/mcvcKoNINSLP1UZs=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2022-09-23T14:52:00Z</dcterms:modified>
</cp:coreProperties>
</file>